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2358B" w14:textId="77777777" w:rsidR="001D7F4E" w:rsidRDefault="00000000">
      <w:pPr>
        <w:pStyle w:val="Heading2"/>
        <w:tabs>
          <w:tab w:val="left" w:pos="5196"/>
        </w:tabs>
        <w:spacing w:before="40"/>
        <w:ind w:left="157"/>
        <w:rPr>
          <w:rFonts w:ascii="Tahoma"/>
        </w:rPr>
      </w:pPr>
      <w:r>
        <w:rPr>
          <w:rFonts w:ascii="Times New Roman"/>
          <w:b w:val="0"/>
          <w:shd w:val="clear" w:color="auto" w:fill="F3F3F3"/>
        </w:rPr>
        <w:t xml:space="preserve"> </w:t>
      </w:r>
      <w:r>
        <w:rPr>
          <w:rFonts w:ascii="Tahoma"/>
          <w:shd w:val="clear" w:color="auto" w:fill="F3F3F3"/>
        </w:rPr>
        <w:t>Negli</w:t>
      </w:r>
      <w:r>
        <w:rPr>
          <w:rFonts w:ascii="Tahoma"/>
          <w:shd w:val="clear" w:color="auto" w:fill="F3F3F3"/>
        </w:rPr>
        <w:t>ġ</w:t>
      </w:r>
      <w:r>
        <w:rPr>
          <w:rFonts w:ascii="Tahoma"/>
          <w:shd w:val="clear" w:color="auto" w:fill="F3F3F3"/>
        </w:rPr>
        <w:t>enza</w:t>
      </w:r>
      <w:r>
        <w:rPr>
          <w:rFonts w:ascii="Tahoma"/>
          <w:shd w:val="clear" w:color="auto" w:fill="F3F3F3"/>
        </w:rPr>
        <w:tab/>
      </w:r>
    </w:p>
    <w:p w14:paraId="0CCCE0E1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268"/>
        <w:ind w:left="964"/>
        <w:rPr>
          <w:sz w:val="28"/>
        </w:rPr>
      </w:pPr>
      <w:r>
        <w:rPr>
          <w:sz w:val="28"/>
        </w:rPr>
        <w:t>Ġuħ kostanti</w:t>
      </w:r>
    </w:p>
    <w:p w14:paraId="2ADBC0E0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72"/>
        <w:ind w:left="964"/>
        <w:rPr>
          <w:sz w:val="28"/>
        </w:rPr>
      </w:pPr>
      <w:r>
        <w:rPr>
          <w:sz w:val="28"/>
        </w:rPr>
        <w:t>Iġjene personali ħażina</w:t>
      </w:r>
    </w:p>
    <w:p w14:paraId="4B832080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70"/>
        <w:ind w:left="964"/>
        <w:rPr>
          <w:sz w:val="28"/>
        </w:rPr>
      </w:pPr>
      <w:r>
        <w:rPr>
          <w:sz w:val="28"/>
        </w:rPr>
        <w:t>Għeja kostanti</w:t>
      </w:r>
    </w:p>
    <w:p w14:paraId="0082A126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71"/>
        <w:ind w:left="964"/>
        <w:rPr>
          <w:sz w:val="28"/>
        </w:rPr>
      </w:pPr>
      <w:r>
        <w:rPr>
          <w:sz w:val="28"/>
        </w:rPr>
        <w:t>Stat ħażin tal-ħwejjeġ</w:t>
      </w:r>
    </w:p>
    <w:p w14:paraId="2E6CEFB2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70"/>
        <w:ind w:left="964"/>
        <w:rPr>
          <w:sz w:val="28"/>
        </w:rPr>
      </w:pPr>
      <w:proofErr w:type="spellStart"/>
      <w:r>
        <w:rPr>
          <w:sz w:val="28"/>
        </w:rPr>
        <w:t>Għelubija</w:t>
      </w:r>
      <w:proofErr w:type="spellEnd"/>
      <w:r>
        <w:rPr>
          <w:sz w:val="28"/>
        </w:rPr>
        <w:t xml:space="preserve"> kbira</w:t>
      </w:r>
    </w:p>
    <w:p w14:paraId="24343EAF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72"/>
        <w:ind w:left="964"/>
        <w:rPr>
          <w:sz w:val="28"/>
        </w:rPr>
      </w:pPr>
      <w:r>
        <w:rPr>
          <w:sz w:val="28"/>
        </w:rPr>
        <w:t>Problemi mediċi mhux ittrattati</w:t>
      </w:r>
    </w:p>
    <w:p w14:paraId="03557557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72"/>
        <w:ind w:left="964"/>
        <w:rPr>
          <w:sz w:val="28"/>
        </w:rPr>
      </w:pPr>
      <w:r>
        <w:rPr>
          <w:sz w:val="28"/>
        </w:rPr>
        <w:t>L-ebda relazzjoni soċjali</w:t>
      </w:r>
    </w:p>
    <w:p w14:paraId="00833774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69"/>
        <w:ind w:left="964"/>
        <w:rPr>
          <w:sz w:val="28"/>
        </w:rPr>
      </w:pPr>
      <w:r>
        <w:rPr>
          <w:sz w:val="28"/>
        </w:rPr>
        <w:t xml:space="preserve">Tiftix għall-ikel </w:t>
      </w:r>
      <w:proofErr w:type="spellStart"/>
      <w:r>
        <w:rPr>
          <w:sz w:val="28"/>
        </w:rPr>
        <w:t>kompulsiv</w:t>
      </w:r>
      <w:proofErr w:type="spellEnd"/>
    </w:p>
    <w:p w14:paraId="44F318BF" w14:textId="77777777" w:rsidR="001D7F4E" w:rsidRDefault="00000000">
      <w:pPr>
        <w:pStyle w:val="ListParagraph"/>
        <w:numPr>
          <w:ilvl w:val="0"/>
          <w:numId w:val="2"/>
        </w:numPr>
        <w:tabs>
          <w:tab w:val="left" w:pos="964"/>
          <w:tab w:val="left" w:pos="965"/>
        </w:tabs>
        <w:spacing w:before="172"/>
        <w:ind w:left="964"/>
        <w:rPr>
          <w:sz w:val="28"/>
        </w:rPr>
      </w:pPr>
      <w:r>
        <w:rPr>
          <w:sz w:val="28"/>
        </w:rPr>
        <w:t>Tendenzi ta’ qerda</w:t>
      </w:r>
    </w:p>
    <w:p w14:paraId="3D09310A" w14:textId="77777777" w:rsidR="001D7F4E" w:rsidRDefault="001D7F4E">
      <w:pPr>
        <w:pStyle w:val="BodyText"/>
        <w:spacing w:before="4"/>
        <w:rPr>
          <w:sz w:val="26"/>
        </w:rPr>
      </w:pPr>
    </w:p>
    <w:p w14:paraId="24AB2B92" w14:textId="77777777" w:rsidR="001D7F4E" w:rsidRDefault="00000000">
      <w:pPr>
        <w:pStyle w:val="Heading2"/>
        <w:tabs>
          <w:tab w:val="left" w:pos="5197"/>
        </w:tabs>
        <w:rPr>
          <w:rFonts w:ascii="Tahoma"/>
        </w:rPr>
      </w:pPr>
      <w:r>
        <w:rPr>
          <w:rFonts w:ascii="Times New Roman"/>
          <w:b w:val="0"/>
          <w:shd w:val="clear" w:color="auto" w:fill="CCE0EB"/>
        </w:rPr>
        <w:t xml:space="preserve"> </w:t>
      </w:r>
      <w:r>
        <w:rPr>
          <w:rFonts w:ascii="Tahoma"/>
          <w:shd w:val="clear" w:color="auto" w:fill="CCE0EB"/>
        </w:rPr>
        <w:t>Nota:</w:t>
      </w:r>
      <w:r>
        <w:rPr>
          <w:rFonts w:ascii="Tahoma"/>
          <w:shd w:val="clear" w:color="auto" w:fill="CCE0EB"/>
        </w:rPr>
        <w:tab/>
      </w:r>
    </w:p>
    <w:p w14:paraId="57983771" w14:textId="3378D816" w:rsidR="001D7F4E" w:rsidRDefault="00000000">
      <w:pPr>
        <w:pStyle w:val="ListParagraph"/>
        <w:numPr>
          <w:ilvl w:val="0"/>
          <w:numId w:val="2"/>
        </w:numPr>
        <w:tabs>
          <w:tab w:val="left" w:pos="812"/>
        </w:tabs>
        <w:spacing w:before="221" w:line="360" w:lineRule="auto"/>
        <w:ind w:right="262" w:hanging="449"/>
        <w:jc w:val="both"/>
        <w:rPr>
          <w:sz w:val="28"/>
        </w:rPr>
      </w:pPr>
      <w:r>
        <w:rPr>
          <w:sz w:val="28"/>
        </w:rPr>
        <w:t>It-tfal jistgħu jkunu soġġetti għal kombinament ta’ tipi differenti ta’ abbuż</w:t>
      </w:r>
    </w:p>
    <w:p w14:paraId="0593D1C1" w14:textId="00FAB21E" w:rsidR="001D7F4E" w:rsidRDefault="00000000">
      <w:pPr>
        <w:pStyle w:val="ListParagraph"/>
        <w:numPr>
          <w:ilvl w:val="0"/>
          <w:numId w:val="2"/>
        </w:numPr>
        <w:tabs>
          <w:tab w:val="left" w:pos="812"/>
        </w:tabs>
        <w:spacing w:line="360" w:lineRule="auto"/>
        <w:ind w:right="259" w:hanging="449"/>
        <w:jc w:val="both"/>
        <w:rPr>
          <w:sz w:val="28"/>
        </w:rPr>
      </w:pPr>
      <w:r>
        <w:rPr>
          <w:sz w:val="28"/>
        </w:rPr>
        <w:t>Huwa possibbli wkoll li t-tfal għandu mnejn ma juru l-ebda sinjali esterni u jaħbu dak li qed jiġri minn kulħadd.</w:t>
      </w:r>
    </w:p>
    <w:p w14:paraId="12E29B94" w14:textId="2C8FD050" w:rsidR="001D7F4E" w:rsidRDefault="00226603">
      <w:pPr>
        <w:pStyle w:val="Heading2"/>
        <w:tabs>
          <w:tab w:val="left" w:pos="5157"/>
        </w:tabs>
        <w:spacing w:before="80"/>
        <w:rPr>
          <w:rFonts w:ascii="Tahom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D041B26" wp14:editId="3B60DE41">
            <wp:simplePos x="0" y="0"/>
            <wp:positionH relativeFrom="page">
              <wp:posOffset>868405</wp:posOffset>
            </wp:positionH>
            <wp:positionV relativeFrom="paragraph">
              <wp:posOffset>32413</wp:posOffset>
            </wp:positionV>
            <wp:extent cx="2297167" cy="143259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167" cy="1432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br w:type="column"/>
      </w:r>
      <w:r w:rsidR="00000000">
        <w:rPr>
          <w:rFonts w:ascii="Times New Roman"/>
          <w:b w:val="0"/>
          <w:shd w:val="clear" w:color="auto" w:fill="F3F3F3"/>
        </w:rPr>
        <w:t xml:space="preserve"> </w:t>
      </w:r>
      <w:r w:rsidR="00000000">
        <w:rPr>
          <w:rFonts w:ascii="Tahoma"/>
          <w:shd w:val="clear" w:color="auto" w:fill="F3F3F3"/>
        </w:rPr>
        <w:t>Kif tag</w:t>
      </w:r>
      <w:r w:rsidR="00000000">
        <w:rPr>
          <w:rFonts w:ascii="Tahoma"/>
          <w:shd w:val="clear" w:color="auto" w:fill="F3F3F3"/>
        </w:rPr>
        <w:t>ħ</w:t>
      </w:r>
      <w:r w:rsidR="00000000">
        <w:rPr>
          <w:rFonts w:ascii="Tahoma"/>
          <w:shd w:val="clear" w:color="auto" w:fill="F3F3F3"/>
        </w:rPr>
        <w:t>mel riferiment?</w:t>
      </w:r>
      <w:r w:rsidR="00000000">
        <w:rPr>
          <w:rFonts w:ascii="Tahoma"/>
          <w:shd w:val="clear" w:color="auto" w:fill="F3F3F3"/>
        </w:rPr>
        <w:tab/>
      </w:r>
    </w:p>
    <w:p w14:paraId="1A7734AA" w14:textId="77777777" w:rsidR="001D7F4E" w:rsidRDefault="001D7F4E">
      <w:pPr>
        <w:pStyle w:val="BodyText"/>
        <w:spacing w:before="7"/>
        <w:rPr>
          <w:rFonts w:ascii="Tahoma"/>
          <w:b/>
          <w:sz w:val="32"/>
        </w:rPr>
      </w:pPr>
    </w:p>
    <w:p w14:paraId="6A2C2490" w14:textId="77777777" w:rsidR="001D7F4E" w:rsidRDefault="00000000">
      <w:pPr>
        <w:spacing w:line="360" w:lineRule="auto"/>
        <w:ind w:left="177" w:right="162"/>
        <w:jc w:val="both"/>
        <w:rPr>
          <w:b/>
          <w:sz w:val="28"/>
        </w:rPr>
      </w:pPr>
      <w:r>
        <w:rPr>
          <w:b/>
          <w:sz w:val="28"/>
        </w:rPr>
        <w:t>Ir-riferimenti normalment isiru permezz tal-iskola billi timtela l-formola ta’ riferiment xierqa. Il-ġenituri jistgħu jużaw il-linja tat-telefown tas-Sigurtà tat-Tfal għal konsultazzjoni.</w:t>
      </w:r>
    </w:p>
    <w:p w14:paraId="3A839B1A" w14:textId="77777777" w:rsidR="001D7F4E" w:rsidRDefault="001D7F4E">
      <w:pPr>
        <w:pStyle w:val="BodyText"/>
        <w:spacing w:before="2"/>
        <w:rPr>
          <w:b/>
          <w:sz w:val="9"/>
        </w:rPr>
      </w:pPr>
    </w:p>
    <w:p w14:paraId="65E218C6" w14:textId="46783635" w:rsidR="001D7F4E" w:rsidRDefault="00000000">
      <w:pPr>
        <w:pStyle w:val="BodyText"/>
        <w:ind w:left="78" w:right="-101"/>
        <w:rPr>
          <w:sz w:val="20"/>
        </w:rPr>
      </w:pPr>
      <w:r>
        <w:rPr>
          <w:sz w:val="20"/>
        </w:rPr>
      </w:r>
      <w:r>
        <w:rPr>
          <w:sz w:val="20"/>
        </w:rPr>
        <w:pict w14:anchorId="61A2B22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55.45pt;height:178.25pt;mso-left-percent:-10001;mso-top-percent:-10001;mso-position-horizontal:absolute;mso-position-horizontal-relative:char;mso-position-vertical:absolute;mso-position-vertical-relative:line;mso-left-percent:-10001;mso-top-percent:-10001" filled="f" strokeweight="2pt">
            <v:textbox inset="0,0,0,0">
              <w:txbxContent>
                <w:p w14:paraId="0B3A1954" w14:textId="77777777" w:rsidR="001D7F4E" w:rsidRDefault="00000000">
                  <w:pPr>
                    <w:spacing w:before="63"/>
                    <w:ind w:left="617" w:right="64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Servizzi għas-Sigurtà tat-Tfal</w:t>
                  </w:r>
                </w:p>
                <w:p w14:paraId="4EEA5506" w14:textId="4E2EEC84" w:rsidR="001D7F4E" w:rsidRDefault="00000000" w:rsidP="00226603">
                  <w:pPr>
                    <w:spacing w:before="240" w:line="410" w:lineRule="auto"/>
                    <w:ind w:left="617" w:right="64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Triq Fra Gaetano Pace </w:t>
                  </w:r>
                  <w:proofErr w:type="spellStart"/>
                  <w:r>
                    <w:rPr>
                      <w:b/>
                      <w:sz w:val="28"/>
                    </w:rPr>
                    <w:t>Forno</w:t>
                  </w:r>
                  <w:proofErr w:type="spellEnd"/>
                  <w:r>
                    <w:rPr>
                      <w:b/>
                      <w:sz w:val="28"/>
                    </w:rPr>
                    <w:t>,</w:t>
                  </w:r>
                  <w:r w:rsidR="00226603">
                    <w:rPr>
                      <w:b/>
                      <w:sz w:val="28"/>
                    </w:rPr>
                    <w:br/>
                  </w:r>
                  <w:r>
                    <w:rPr>
                      <w:b/>
                      <w:sz w:val="28"/>
                    </w:rPr>
                    <w:t xml:space="preserve"> il-Ħamrun, Malta</w:t>
                  </w:r>
                </w:p>
                <w:p w14:paraId="0ECCB926" w14:textId="77777777" w:rsidR="001D7F4E" w:rsidRDefault="00000000">
                  <w:pPr>
                    <w:spacing w:line="337" w:lineRule="exact"/>
                    <w:ind w:left="617" w:right="63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Tel:  25983497</w:t>
                  </w:r>
                </w:p>
                <w:p w14:paraId="5EE7A4D8" w14:textId="77777777" w:rsidR="001D7F4E" w:rsidRDefault="00000000">
                  <w:pPr>
                    <w:spacing w:before="239"/>
                    <w:ind w:left="617" w:right="639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Email:</w:t>
                  </w:r>
                </w:p>
                <w:p w14:paraId="77ABDB97" w14:textId="77777777" w:rsidR="001D7F4E" w:rsidRDefault="00000000">
                  <w:pPr>
                    <w:ind w:left="617" w:right="642"/>
                    <w:jc w:val="center"/>
                    <w:rPr>
                      <w:b/>
                      <w:sz w:val="28"/>
                    </w:rPr>
                  </w:pPr>
                  <w:hyperlink r:id="rId6">
                    <w:r>
                      <w:rPr>
                        <w:b/>
                        <w:sz w:val="28"/>
                      </w:rPr>
                      <w:t>childsaftyservice@ilearn.edu.mt</w:t>
                    </w:r>
                  </w:hyperlink>
                </w:p>
              </w:txbxContent>
            </v:textbox>
            <w10:anchorlock/>
          </v:shape>
        </w:pict>
      </w:r>
    </w:p>
    <w:p w14:paraId="2DDD4616" w14:textId="0CC463ED" w:rsidR="001D7F4E" w:rsidRDefault="00226603">
      <w:pPr>
        <w:pStyle w:val="BodyText"/>
        <w:ind w:left="5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185D452" wp14:editId="6FDE20B7">
            <wp:simplePos x="0" y="0"/>
            <wp:positionH relativeFrom="page">
              <wp:posOffset>3844290</wp:posOffset>
            </wp:positionH>
            <wp:positionV relativeFrom="paragraph">
              <wp:posOffset>64448</wp:posOffset>
            </wp:positionV>
            <wp:extent cx="2960370" cy="2943225"/>
            <wp:effectExtent l="0" t="0" r="0" b="0"/>
            <wp:wrapNone/>
            <wp:docPr id="1" name="image1.png" descr="Eurocos - Contact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br w:type="column"/>
      </w:r>
      <w:r w:rsidR="00000000">
        <w:rPr>
          <w:noProof/>
          <w:sz w:val="20"/>
        </w:rPr>
        <w:drawing>
          <wp:inline distT="0" distB="0" distL="0" distR="0" wp14:anchorId="399A9D73" wp14:editId="7B971F96">
            <wp:extent cx="2948431" cy="114785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431" cy="114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91E3" w14:textId="77777777" w:rsidR="001D7F4E" w:rsidRDefault="00000000" w:rsidP="00226603">
      <w:pPr>
        <w:pStyle w:val="Heading1"/>
        <w:ind w:left="0"/>
      </w:pPr>
      <w:r>
        <w:t>Servizzi għas-Sigurtà tat-Tfal</w:t>
      </w:r>
    </w:p>
    <w:p w14:paraId="6EA76769" w14:textId="77777777" w:rsidR="001D7F4E" w:rsidRDefault="001D7F4E">
      <w:pPr>
        <w:pStyle w:val="BodyText"/>
        <w:spacing w:before="7"/>
        <w:rPr>
          <w:rFonts w:ascii="Tahoma"/>
          <w:b/>
          <w:sz w:val="53"/>
        </w:rPr>
      </w:pPr>
    </w:p>
    <w:p w14:paraId="27371EF5" w14:textId="77777777" w:rsidR="001D7F4E" w:rsidRDefault="00000000">
      <w:pPr>
        <w:spacing w:line="360" w:lineRule="auto"/>
        <w:ind w:left="119" w:right="257"/>
        <w:jc w:val="both"/>
        <w:rPr>
          <w:b/>
        </w:rPr>
      </w:pPr>
      <w:r>
        <w:rPr>
          <w:b/>
          <w:sz w:val="28"/>
        </w:rPr>
        <w:t xml:space="preserve">Is-Servizzi għas-Sigurtà tat-Tfal jagħmel </w:t>
      </w:r>
      <w:r w:rsidRPr="002B5E23">
        <w:rPr>
          <w:b/>
          <w:sz w:val="28"/>
          <w:szCs w:val="28"/>
        </w:rPr>
        <w:t>parti mill-Programmi ta’ Skejjel Siguri fi ħdan id-Direttorat tal-Edukazzjoni. Huwa servizz speċjalizzat li jittratta każijiet ta’ Abbuż tat-Tfal.</w:t>
      </w:r>
    </w:p>
    <w:p w14:paraId="08AB6191" w14:textId="77777777" w:rsidR="001D7F4E" w:rsidRDefault="00000000">
      <w:pPr>
        <w:pStyle w:val="Heading1"/>
        <w:spacing w:before="181"/>
        <w:jc w:val="both"/>
      </w:pPr>
      <w:r>
        <w:t>Stqarrija tal-Missjoni:</w:t>
      </w:r>
    </w:p>
    <w:p w14:paraId="31CAB2DF" w14:textId="77777777" w:rsidR="001D7F4E" w:rsidRDefault="00000000">
      <w:pPr>
        <w:spacing w:before="186" w:line="360" w:lineRule="auto"/>
        <w:ind w:left="119" w:right="256"/>
        <w:jc w:val="both"/>
        <w:rPr>
          <w:b/>
          <w:sz w:val="28"/>
        </w:rPr>
      </w:pPr>
      <w:r>
        <w:rPr>
          <w:b/>
          <w:sz w:val="28"/>
        </w:rPr>
        <w:t>Il-missjoni tagħna hija li nipprovdu servizzi ta’ intervent u prevenzjoni lil studenti, ġenituri u edukaturi, fejn noffru servizzi effettivi u professjonali, li huma mfassla għall-ħtiġijiet ta’ tfal li esperjenzaw l-abbuż.</w:t>
      </w:r>
    </w:p>
    <w:p w14:paraId="483CDB85" w14:textId="77777777" w:rsidR="001D7F4E" w:rsidRDefault="001D7F4E">
      <w:pPr>
        <w:spacing w:line="360" w:lineRule="auto"/>
        <w:jc w:val="both"/>
        <w:rPr>
          <w:sz w:val="28"/>
        </w:rPr>
        <w:sectPr w:rsidR="001D7F4E">
          <w:type w:val="continuous"/>
          <w:pgSz w:w="16840" w:h="11910" w:orient="landscape"/>
          <w:pgMar w:top="0" w:right="480" w:bottom="0" w:left="360" w:header="720" w:footer="720" w:gutter="0"/>
          <w:cols w:num="3" w:space="720" w:equalWidth="0">
            <w:col w:w="5238" w:space="158"/>
            <w:col w:w="5199" w:space="460"/>
            <w:col w:w="4945"/>
          </w:cols>
        </w:sectPr>
      </w:pPr>
    </w:p>
    <w:p w14:paraId="61BE543B" w14:textId="77777777" w:rsidR="001D7F4E" w:rsidRDefault="001D7F4E">
      <w:pPr>
        <w:pStyle w:val="BodyText"/>
        <w:spacing w:before="6"/>
        <w:rPr>
          <w:b/>
          <w:sz w:val="13"/>
        </w:rPr>
      </w:pPr>
    </w:p>
    <w:p w14:paraId="5DB2503F" w14:textId="77777777" w:rsidR="001D7F4E" w:rsidRDefault="00000000">
      <w:pPr>
        <w:pStyle w:val="BodyText"/>
        <w:ind w:left="11225"/>
        <w:rPr>
          <w:sz w:val="20"/>
        </w:rPr>
      </w:pPr>
      <w:r>
        <w:rPr>
          <w:noProof/>
          <w:sz w:val="20"/>
        </w:rPr>
        <w:drawing>
          <wp:inline distT="0" distB="0" distL="0" distR="0" wp14:anchorId="6FA3C363" wp14:editId="788B9D94">
            <wp:extent cx="2565005" cy="87668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005" cy="87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D618C" w14:textId="77777777" w:rsidR="001D7F4E" w:rsidRDefault="001D7F4E">
      <w:pPr>
        <w:rPr>
          <w:sz w:val="20"/>
        </w:rPr>
        <w:sectPr w:rsidR="001D7F4E">
          <w:type w:val="continuous"/>
          <w:pgSz w:w="16840" w:h="11910" w:orient="landscape"/>
          <w:pgMar w:top="0" w:right="480" w:bottom="0" w:left="360" w:header="720" w:footer="720" w:gutter="0"/>
          <w:cols w:space="720"/>
        </w:sectPr>
      </w:pPr>
    </w:p>
    <w:p w14:paraId="2853F77A" w14:textId="77777777" w:rsidR="001D7F4E" w:rsidRDefault="00000000">
      <w:pPr>
        <w:pStyle w:val="Heading1"/>
        <w:tabs>
          <w:tab w:val="left" w:pos="1332"/>
          <w:tab w:val="left" w:pos="5138"/>
        </w:tabs>
        <w:spacing w:before="129"/>
        <w:ind w:left="237"/>
      </w:pPr>
      <w:r>
        <w:rPr>
          <w:rFonts w:ascii="Times New Roman"/>
          <w:b w:val="0"/>
          <w:shd w:val="clear" w:color="auto" w:fill="F3F3F3"/>
        </w:rPr>
        <w:lastRenderedPageBreak/>
        <w:t xml:space="preserve"> </w:t>
      </w:r>
      <w:r>
        <w:rPr>
          <w:rFonts w:ascii="Times New Roman"/>
          <w:b w:val="0"/>
          <w:shd w:val="clear" w:color="auto" w:fill="F3F3F3"/>
        </w:rPr>
        <w:tab/>
      </w:r>
      <w:r>
        <w:rPr>
          <w:shd w:val="clear" w:color="auto" w:fill="F3F3F3"/>
        </w:rPr>
        <w:t>Servizzi offruti:</w:t>
      </w:r>
      <w:r>
        <w:rPr>
          <w:shd w:val="clear" w:color="auto" w:fill="F3F3F3"/>
        </w:rPr>
        <w:tab/>
      </w:r>
    </w:p>
    <w:p w14:paraId="3849BEF7" w14:textId="77777777" w:rsidR="001D7F4E" w:rsidRDefault="00000000">
      <w:pPr>
        <w:pStyle w:val="Heading2"/>
        <w:numPr>
          <w:ilvl w:val="0"/>
          <w:numId w:val="2"/>
        </w:numPr>
        <w:tabs>
          <w:tab w:val="left" w:pos="964"/>
          <w:tab w:val="left" w:pos="965"/>
        </w:tabs>
        <w:spacing w:before="171"/>
        <w:ind w:left="964"/>
      </w:pPr>
      <w:r>
        <w:t>Konsultazzjoni</w:t>
      </w:r>
    </w:p>
    <w:p w14:paraId="002FD3B0" w14:textId="77777777" w:rsidR="001D7F4E" w:rsidRDefault="00000000">
      <w:pPr>
        <w:spacing w:before="240"/>
        <w:ind w:left="398" w:right="57"/>
        <w:jc w:val="both"/>
        <w:rPr>
          <w:sz w:val="28"/>
        </w:rPr>
      </w:pPr>
      <w:r>
        <w:rPr>
          <w:sz w:val="28"/>
        </w:rPr>
        <w:t>Is-Servizzi għas-Sigurtà tat-Tfal joffru servizz ta’ konsultazzjoni lill-iskejjel kollha f’Malta u Għawdex meta jkun suspettat li hemm abbuż tat-tfal.</w:t>
      </w:r>
    </w:p>
    <w:p w14:paraId="45D8C521" w14:textId="77777777" w:rsidR="001D7F4E" w:rsidRDefault="00000000">
      <w:pPr>
        <w:pStyle w:val="Heading2"/>
        <w:spacing w:before="239"/>
        <w:ind w:left="398"/>
        <w:jc w:val="both"/>
      </w:pPr>
      <w:r>
        <w:t>Programmi ta’ Prevenzjoni:</w:t>
      </w:r>
    </w:p>
    <w:p w14:paraId="280F53B0" w14:textId="77777777" w:rsidR="001D7F4E" w:rsidRDefault="00000000">
      <w:pPr>
        <w:pStyle w:val="ListParagraph"/>
        <w:numPr>
          <w:ilvl w:val="0"/>
          <w:numId w:val="2"/>
        </w:numPr>
        <w:tabs>
          <w:tab w:val="left" w:pos="727"/>
          <w:tab w:val="left" w:pos="728"/>
        </w:tabs>
        <w:spacing w:before="242"/>
        <w:ind w:left="727" w:hanging="330"/>
        <w:rPr>
          <w:sz w:val="28"/>
        </w:rPr>
      </w:pPr>
      <w:r>
        <w:rPr>
          <w:b/>
          <w:bCs/>
          <w:sz w:val="28"/>
        </w:rPr>
        <w:t>Studenti</w:t>
      </w:r>
      <w:r>
        <w:rPr>
          <w:sz w:val="28"/>
        </w:rPr>
        <w:t>: Fuq talba</w:t>
      </w:r>
    </w:p>
    <w:p w14:paraId="6F0A60D9" w14:textId="77777777" w:rsidR="001D7F4E" w:rsidRDefault="00000000">
      <w:pPr>
        <w:pStyle w:val="ListParagraph"/>
        <w:numPr>
          <w:ilvl w:val="0"/>
          <w:numId w:val="2"/>
        </w:numPr>
        <w:tabs>
          <w:tab w:val="left" w:pos="727"/>
          <w:tab w:val="left" w:pos="728"/>
        </w:tabs>
        <w:spacing w:before="239"/>
        <w:ind w:left="727" w:right="142" w:hanging="329"/>
        <w:rPr>
          <w:sz w:val="28"/>
        </w:rPr>
      </w:pPr>
      <w:r>
        <w:rPr>
          <w:b/>
          <w:bCs/>
          <w:sz w:val="28"/>
        </w:rPr>
        <w:t>Ġenituri:</w:t>
      </w:r>
      <w:r>
        <w:rPr>
          <w:sz w:val="28"/>
        </w:rPr>
        <w:t xml:space="preserve"> Jiġu offerti Programmi ta’ Għarfien għall-Ġenituri fl-iskejjel kollha.</w:t>
      </w:r>
    </w:p>
    <w:p w14:paraId="55A3338A" w14:textId="77777777" w:rsidR="00226603" w:rsidRPr="00226603" w:rsidRDefault="00226603" w:rsidP="00226603">
      <w:pPr>
        <w:pStyle w:val="ListParagraph"/>
        <w:tabs>
          <w:tab w:val="left" w:pos="727"/>
          <w:tab w:val="left" w:pos="728"/>
        </w:tabs>
        <w:spacing w:before="3"/>
        <w:ind w:left="727" w:right="452" w:firstLine="0"/>
        <w:rPr>
          <w:sz w:val="28"/>
        </w:rPr>
      </w:pPr>
    </w:p>
    <w:p w14:paraId="342CDE16" w14:textId="087D9AAA" w:rsidR="001D7F4E" w:rsidRPr="00226603" w:rsidRDefault="00000000" w:rsidP="00226603">
      <w:pPr>
        <w:pStyle w:val="ListParagraph"/>
        <w:numPr>
          <w:ilvl w:val="0"/>
          <w:numId w:val="2"/>
        </w:numPr>
        <w:tabs>
          <w:tab w:val="left" w:pos="727"/>
          <w:tab w:val="left" w:pos="728"/>
        </w:tabs>
        <w:spacing w:before="3"/>
        <w:ind w:left="727" w:right="452" w:hanging="329"/>
        <w:rPr>
          <w:sz w:val="28"/>
        </w:rPr>
      </w:pPr>
      <w:r w:rsidRPr="00226603">
        <w:rPr>
          <w:b/>
          <w:sz w:val="28"/>
        </w:rPr>
        <w:t xml:space="preserve">Taħriġ: </w:t>
      </w:r>
      <w:r w:rsidRPr="00226603">
        <w:rPr>
          <w:sz w:val="28"/>
        </w:rPr>
        <w:t xml:space="preserve">Is-Servizzi għas-Sigurtà tat-Tfal joffru taħriġ lill-persunal li jgħallem u dawk li ma </w:t>
      </w:r>
      <w:proofErr w:type="spellStart"/>
      <w:r w:rsidRPr="00226603">
        <w:rPr>
          <w:sz w:val="28"/>
        </w:rPr>
        <w:t>jgħallmux</w:t>
      </w:r>
      <w:proofErr w:type="spellEnd"/>
      <w:r w:rsidRPr="00226603">
        <w:rPr>
          <w:sz w:val="28"/>
        </w:rPr>
        <w:t xml:space="preserve"> fl-iskejjel.</w:t>
      </w:r>
    </w:p>
    <w:p w14:paraId="3850C7A3" w14:textId="77777777" w:rsidR="001D7F4E" w:rsidRDefault="00000000">
      <w:pPr>
        <w:pStyle w:val="ListParagraph"/>
        <w:numPr>
          <w:ilvl w:val="0"/>
          <w:numId w:val="2"/>
        </w:numPr>
        <w:tabs>
          <w:tab w:val="left" w:pos="727"/>
          <w:tab w:val="left" w:pos="728"/>
        </w:tabs>
        <w:spacing w:before="239"/>
        <w:ind w:left="727" w:right="169" w:hanging="329"/>
        <w:rPr>
          <w:sz w:val="28"/>
        </w:rPr>
      </w:pPr>
      <w:r>
        <w:rPr>
          <w:b/>
          <w:sz w:val="28"/>
        </w:rPr>
        <w:t>Koordinazzjoni</w:t>
      </w:r>
      <w:r>
        <w:rPr>
          <w:sz w:val="28"/>
        </w:rPr>
        <w:t>: Il-koordinazzjoni ta’ għadd ta’ professjonisti minn aġenziji differenti li jaħdmu mat-tfal li ġarrbu xi forma ta’ abbuż</w:t>
      </w:r>
    </w:p>
    <w:p w14:paraId="0E07834C" w14:textId="77777777" w:rsidR="001D7F4E" w:rsidRDefault="00000000">
      <w:pPr>
        <w:pStyle w:val="ListParagraph"/>
        <w:numPr>
          <w:ilvl w:val="0"/>
          <w:numId w:val="2"/>
        </w:numPr>
        <w:tabs>
          <w:tab w:val="left" w:pos="727"/>
          <w:tab w:val="left" w:pos="728"/>
        </w:tabs>
        <w:spacing w:before="239"/>
        <w:ind w:left="727" w:right="95" w:hanging="329"/>
        <w:rPr>
          <w:sz w:val="28"/>
        </w:rPr>
      </w:pPr>
      <w:r>
        <w:rPr>
          <w:b/>
          <w:sz w:val="28"/>
        </w:rPr>
        <w:t xml:space="preserve">Sapport: </w:t>
      </w:r>
      <w:r>
        <w:rPr>
          <w:sz w:val="28"/>
        </w:rPr>
        <w:t>Noffru sapport lill-istudenti li ġarrbu t-trawma tal-abbuż.</w:t>
      </w:r>
    </w:p>
    <w:p w14:paraId="5144AE3C" w14:textId="77777777" w:rsidR="001D7F4E" w:rsidRDefault="00000000">
      <w:pPr>
        <w:pStyle w:val="ListParagraph"/>
        <w:numPr>
          <w:ilvl w:val="0"/>
          <w:numId w:val="2"/>
        </w:numPr>
        <w:tabs>
          <w:tab w:val="left" w:pos="727"/>
          <w:tab w:val="left" w:pos="728"/>
        </w:tabs>
        <w:spacing w:before="242"/>
        <w:ind w:left="727" w:right="261" w:hanging="329"/>
        <w:rPr>
          <w:sz w:val="28"/>
        </w:rPr>
      </w:pPr>
      <w:r>
        <w:rPr>
          <w:b/>
          <w:sz w:val="28"/>
        </w:rPr>
        <w:t xml:space="preserve">Riċerka: </w:t>
      </w:r>
      <w:r>
        <w:rPr>
          <w:sz w:val="28"/>
        </w:rPr>
        <w:t>Riċerka fuq suġġetti relatati mal-Abbuż tat-Tfal.</w:t>
      </w:r>
    </w:p>
    <w:p w14:paraId="52DD1368" w14:textId="77777777" w:rsidR="001D7F4E" w:rsidRDefault="00000000">
      <w:pPr>
        <w:pStyle w:val="Heading2"/>
        <w:spacing w:before="88"/>
        <w:ind w:left="352" w:right="65"/>
        <w:jc w:val="center"/>
        <w:rPr>
          <w:rFonts w:ascii="Tahoma" w:hAnsi="Tahoma"/>
        </w:rPr>
      </w:pPr>
      <w:r>
        <w:br w:type="column"/>
      </w:r>
      <w:r>
        <w:rPr>
          <w:rFonts w:ascii="Times New Roman" w:hAnsi="Times New Roman"/>
          <w:b w:val="0"/>
          <w:shd w:val="clear" w:color="auto" w:fill="F3F3F3"/>
        </w:rPr>
        <w:t xml:space="preserve"> </w:t>
      </w:r>
      <w:r>
        <w:rPr>
          <w:rFonts w:ascii="Tahoma" w:hAnsi="Tahoma"/>
          <w:shd w:val="clear" w:color="auto" w:fill="F3F3F3"/>
        </w:rPr>
        <w:t>Abbuż tat-Tfal—Sinjali u Sintomi</w:t>
      </w:r>
    </w:p>
    <w:p w14:paraId="063E4DEF" w14:textId="77777777" w:rsidR="001D7F4E" w:rsidRDefault="001D7F4E">
      <w:pPr>
        <w:pStyle w:val="BodyText"/>
        <w:spacing w:before="4"/>
        <w:rPr>
          <w:rFonts w:ascii="Tahoma"/>
          <w:b/>
          <w:sz w:val="25"/>
        </w:rPr>
      </w:pPr>
    </w:p>
    <w:p w14:paraId="0672F767" w14:textId="3465A0F9" w:rsidR="001D7F4E" w:rsidRPr="00226603" w:rsidRDefault="00000000" w:rsidP="00226603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ind w:left="567" w:right="65"/>
        <w:rPr>
          <w:spacing w:val="-6"/>
          <w:sz w:val="24"/>
        </w:rPr>
      </w:pPr>
      <w:r w:rsidRPr="00226603">
        <w:rPr>
          <w:spacing w:val="-6"/>
          <w:sz w:val="24"/>
        </w:rPr>
        <w:t>Ikunu jgħożżu żżejjed jew ikollhom għarfien tajjeb</w:t>
      </w:r>
      <w:r w:rsidR="00226603" w:rsidRPr="00226603">
        <w:rPr>
          <w:spacing w:val="-6"/>
          <w:sz w:val="24"/>
        </w:rPr>
        <w:t xml:space="preserve"> </w:t>
      </w:r>
      <w:r w:rsidRPr="00226603">
        <w:rPr>
          <w:spacing w:val="-6"/>
          <w:sz w:val="24"/>
        </w:rPr>
        <w:t>f’mod sesswali li mhux xieraq għall-età tat-tfal.</w:t>
      </w:r>
    </w:p>
    <w:p w14:paraId="0389CD30" w14:textId="77777777" w:rsidR="001D7F4E" w:rsidRDefault="001D7F4E">
      <w:pPr>
        <w:pStyle w:val="BodyText"/>
      </w:pPr>
    </w:p>
    <w:p w14:paraId="589168B4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8"/>
        </w:tabs>
        <w:ind w:right="183"/>
        <w:jc w:val="both"/>
        <w:rPr>
          <w:sz w:val="24"/>
        </w:rPr>
      </w:pPr>
      <w:r>
        <w:rPr>
          <w:sz w:val="24"/>
        </w:rPr>
        <w:t xml:space="preserve">Problemi mediċi bħal ħakk kroniku, uġigħ fil-ġenitali, mard </w:t>
      </w:r>
      <w:proofErr w:type="spellStart"/>
      <w:r>
        <w:rPr>
          <w:sz w:val="24"/>
        </w:rPr>
        <w:t>venerju</w:t>
      </w:r>
      <w:proofErr w:type="spellEnd"/>
      <w:r>
        <w:rPr>
          <w:sz w:val="24"/>
        </w:rPr>
        <w:t>.</w:t>
      </w:r>
    </w:p>
    <w:p w14:paraId="5D6A990E" w14:textId="77777777" w:rsidR="001D7F4E" w:rsidRDefault="001D7F4E">
      <w:pPr>
        <w:pStyle w:val="BodyText"/>
        <w:spacing w:before="12"/>
        <w:rPr>
          <w:sz w:val="23"/>
        </w:rPr>
      </w:pPr>
    </w:p>
    <w:p w14:paraId="5D7E9BDB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ind w:right="315"/>
        <w:rPr>
          <w:sz w:val="24"/>
        </w:rPr>
      </w:pPr>
      <w:r>
        <w:rPr>
          <w:sz w:val="24"/>
        </w:rPr>
        <w:t xml:space="preserve">Reazzjonijiet estremi oħra, </w:t>
      </w:r>
      <w:proofErr w:type="spellStart"/>
      <w:r>
        <w:rPr>
          <w:sz w:val="24"/>
        </w:rPr>
        <w:t>bħad-dipressjoni</w:t>
      </w:r>
      <w:proofErr w:type="spellEnd"/>
      <w:r>
        <w:rPr>
          <w:sz w:val="24"/>
        </w:rPr>
        <w:t xml:space="preserve">, mutilazzjoni fuqhom infushom, tentattivi ta’ suwiċidju, </w:t>
      </w:r>
      <w:proofErr w:type="spellStart"/>
      <w:r>
        <w:rPr>
          <w:sz w:val="24"/>
        </w:rPr>
        <w:t>taħrib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overdoses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anoressija</w:t>
      </w:r>
      <w:proofErr w:type="spellEnd"/>
      <w:r>
        <w:rPr>
          <w:sz w:val="24"/>
        </w:rPr>
        <w:t>.</w:t>
      </w:r>
    </w:p>
    <w:p w14:paraId="5D2DFE5E" w14:textId="77777777" w:rsidR="001D7F4E" w:rsidRDefault="001D7F4E">
      <w:pPr>
        <w:pStyle w:val="BodyText"/>
        <w:spacing w:before="2"/>
      </w:pPr>
    </w:p>
    <w:p w14:paraId="488445DF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8"/>
        </w:tabs>
        <w:ind w:right="179"/>
        <w:jc w:val="both"/>
        <w:rPr>
          <w:sz w:val="24"/>
        </w:rPr>
      </w:pPr>
      <w:r>
        <w:rPr>
          <w:sz w:val="24"/>
        </w:rPr>
        <w:t xml:space="preserve">Bidliet fil-personalità bħal li jsiru </w:t>
      </w:r>
      <w:proofErr w:type="spellStart"/>
      <w:r>
        <w:rPr>
          <w:sz w:val="24"/>
        </w:rPr>
        <w:t>insiguri</w:t>
      </w:r>
      <w:proofErr w:type="spellEnd"/>
      <w:r>
        <w:rPr>
          <w:sz w:val="24"/>
        </w:rPr>
        <w:t xml:space="preserve"> jew jiddendlu ma’ persuna.</w:t>
      </w:r>
    </w:p>
    <w:p w14:paraId="1579612B" w14:textId="77777777" w:rsidR="001D7F4E" w:rsidRDefault="001D7F4E">
      <w:pPr>
        <w:pStyle w:val="BodyText"/>
        <w:spacing w:before="12"/>
        <w:rPr>
          <w:sz w:val="23"/>
        </w:rPr>
      </w:pPr>
    </w:p>
    <w:p w14:paraId="6C916A56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8"/>
        </w:tabs>
        <w:ind w:right="180"/>
        <w:jc w:val="both"/>
        <w:rPr>
          <w:sz w:val="24"/>
        </w:rPr>
      </w:pPr>
      <w:proofErr w:type="spellStart"/>
      <w:r>
        <w:rPr>
          <w:sz w:val="24"/>
        </w:rPr>
        <w:t>Rigressjoni</w:t>
      </w:r>
      <w:proofErr w:type="spellEnd"/>
      <w:r>
        <w:rPr>
          <w:sz w:val="24"/>
        </w:rPr>
        <w:t xml:space="preserve"> għal tendenzi ta’ mġiba iżgħar bħal tirdigħ tas-</w:t>
      </w:r>
      <w:proofErr w:type="spellStart"/>
      <w:r>
        <w:rPr>
          <w:sz w:val="24"/>
        </w:rPr>
        <w:t>saba</w:t>
      </w:r>
      <w:proofErr w:type="spellEnd"/>
      <w:r>
        <w:rPr>
          <w:sz w:val="24"/>
        </w:rPr>
        <w:t>’ l-kbir jew li joħorġu ġugarelli mwarrba.</w:t>
      </w:r>
    </w:p>
    <w:p w14:paraId="21A95C88" w14:textId="77777777" w:rsidR="001D7F4E" w:rsidRDefault="001D7F4E">
      <w:pPr>
        <w:pStyle w:val="BodyText"/>
        <w:spacing w:before="11"/>
        <w:rPr>
          <w:sz w:val="23"/>
        </w:rPr>
      </w:pPr>
    </w:p>
    <w:p w14:paraId="794F8779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rPr>
          <w:sz w:val="24"/>
        </w:rPr>
      </w:pPr>
      <w:r>
        <w:rPr>
          <w:sz w:val="24"/>
        </w:rPr>
        <w:t xml:space="preserve">Telf tal-aptit f’daqqa jew jieklu b’mod </w:t>
      </w:r>
      <w:proofErr w:type="spellStart"/>
      <w:r>
        <w:rPr>
          <w:sz w:val="24"/>
        </w:rPr>
        <w:t>kompulsiv</w:t>
      </w:r>
      <w:proofErr w:type="spellEnd"/>
      <w:r>
        <w:rPr>
          <w:sz w:val="24"/>
        </w:rPr>
        <w:t>.</w:t>
      </w:r>
    </w:p>
    <w:p w14:paraId="7B0D2464" w14:textId="77777777" w:rsidR="001D7F4E" w:rsidRDefault="001D7F4E">
      <w:pPr>
        <w:pStyle w:val="BodyText"/>
      </w:pPr>
    </w:p>
    <w:p w14:paraId="4239FED9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rPr>
          <w:sz w:val="24"/>
        </w:rPr>
      </w:pPr>
      <w:r>
        <w:rPr>
          <w:sz w:val="24"/>
        </w:rPr>
        <w:t xml:space="preserve">Li jkunu iżolati jew </w:t>
      </w:r>
      <w:proofErr w:type="spellStart"/>
      <w:r>
        <w:rPr>
          <w:sz w:val="24"/>
        </w:rPr>
        <w:t>mgerrxa</w:t>
      </w:r>
      <w:proofErr w:type="spellEnd"/>
      <w:r>
        <w:rPr>
          <w:sz w:val="24"/>
        </w:rPr>
        <w:t>.</w:t>
      </w:r>
    </w:p>
    <w:p w14:paraId="45F2A1AD" w14:textId="77777777" w:rsidR="001D7F4E" w:rsidRDefault="001D7F4E">
      <w:pPr>
        <w:pStyle w:val="BodyText"/>
      </w:pPr>
    </w:p>
    <w:p w14:paraId="08313155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rPr>
          <w:sz w:val="24"/>
        </w:rPr>
      </w:pPr>
      <w:r>
        <w:rPr>
          <w:sz w:val="24"/>
        </w:rPr>
        <w:t>Ma jkunux jistgħu jikkonċentraw.</w:t>
      </w:r>
    </w:p>
    <w:p w14:paraId="623E484B" w14:textId="77777777" w:rsidR="001D7F4E" w:rsidRDefault="001D7F4E">
      <w:pPr>
        <w:pStyle w:val="BodyText"/>
        <w:spacing w:before="2"/>
      </w:pPr>
    </w:p>
    <w:p w14:paraId="0A684ADA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8"/>
        </w:tabs>
        <w:ind w:right="178"/>
        <w:jc w:val="both"/>
        <w:rPr>
          <w:sz w:val="24"/>
        </w:rPr>
      </w:pPr>
      <w:r>
        <w:rPr>
          <w:sz w:val="24"/>
        </w:rPr>
        <w:t xml:space="preserve">Nuqqas ta’ fiduċja jew biża’ minn xi ħadd li jafu sew, bħal li ma </w:t>
      </w:r>
      <w:proofErr w:type="spellStart"/>
      <w:r>
        <w:rPr>
          <w:sz w:val="24"/>
        </w:rPr>
        <w:t>jixtiqux</w:t>
      </w:r>
      <w:proofErr w:type="spellEnd"/>
      <w:r>
        <w:rPr>
          <w:sz w:val="24"/>
        </w:rPr>
        <w:t xml:space="preserve"> ikunu waħedhom ma’ babysitter jew </w:t>
      </w:r>
      <w:proofErr w:type="spellStart"/>
      <w:r>
        <w:rPr>
          <w:sz w:val="24"/>
        </w:rPr>
        <w:t>childminder</w:t>
      </w:r>
      <w:proofErr w:type="spellEnd"/>
      <w:r>
        <w:rPr>
          <w:sz w:val="24"/>
        </w:rPr>
        <w:t>.</w:t>
      </w:r>
    </w:p>
    <w:p w14:paraId="5E0C4C5C" w14:textId="77777777" w:rsidR="001D7F4E" w:rsidRDefault="001D7F4E">
      <w:pPr>
        <w:pStyle w:val="BodyText"/>
      </w:pPr>
    </w:p>
    <w:p w14:paraId="18DA43FC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rPr>
          <w:sz w:val="24"/>
        </w:rPr>
      </w:pPr>
      <w:r>
        <w:rPr>
          <w:sz w:val="24"/>
        </w:rPr>
        <w:t xml:space="preserve">Jerġgħu jibdew </w:t>
      </w:r>
      <w:proofErr w:type="spellStart"/>
      <w:r>
        <w:rPr>
          <w:sz w:val="24"/>
        </w:rPr>
        <w:t>ixarrbu</w:t>
      </w:r>
      <w:proofErr w:type="spellEnd"/>
      <w:r>
        <w:rPr>
          <w:sz w:val="24"/>
        </w:rPr>
        <w:t xml:space="preserve"> s-sodda, binhar jew billejl/ħmar il-lejl.</w:t>
      </w:r>
    </w:p>
    <w:p w14:paraId="086ED6DE" w14:textId="77777777" w:rsidR="001D7F4E" w:rsidRDefault="001D7F4E">
      <w:pPr>
        <w:pStyle w:val="BodyText"/>
      </w:pPr>
    </w:p>
    <w:p w14:paraId="1F35BE98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8"/>
        </w:tabs>
        <w:ind w:right="179"/>
        <w:jc w:val="both"/>
        <w:rPr>
          <w:sz w:val="24"/>
        </w:rPr>
      </w:pPr>
      <w:r>
        <w:rPr>
          <w:sz w:val="24"/>
        </w:rPr>
        <w:t xml:space="preserve">Jibdew jinkwetaw jekk ikun se </w:t>
      </w:r>
      <w:proofErr w:type="spellStart"/>
      <w:r>
        <w:rPr>
          <w:sz w:val="24"/>
        </w:rPr>
        <w:t>jitneżża</w:t>
      </w:r>
      <w:proofErr w:type="spellEnd"/>
      <w:r>
        <w:rPr>
          <w:sz w:val="24"/>
        </w:rPr>
        <w:t>’ l-ilbies.</w:t>
      </w:r>
    </w:p>
    <w:p w14:paraId="6BDD8CAE" w14:textId="77777777" w:rsidR="001D7F4E" w:rsidRDefault="001D7F4E">
      <w:pPr>
        <w:pStyle w:val="BodyText"/>
        <w:spacing w:before="11"/>
        <w:rPr>
          <w:sz w:val="23"/>
        </w:rPr>
      </w:pPr>
    </w:p>
    <w:p w14:paraId="2D6AE9A5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rPr>
          <w:sz w:val="24"/>
        </w:rPr>
      </w:pPr>
      <w:r>
        <w:rPr>
          <w:sz w:val="24"/>
        </w:rPr>
        <w:t xml:space="preserve">F'daqqa waħda jibdew ipinġu stampi sesswalment </w:t>
      </w:r>
      <w:proofErr w:type="spellStart"/>
      <w:r>
        <w:rPr>
          <w:sz w:val="24"/>
        </w:rPr>
        <w:t>espliċiti</w:t>
      </w:r>
      <w:proofErr w:type="spellEnd"/>
      <w:r>
        <w:rPr>
          <w:sz w:val="24"/>
        </w:rPr>
        <w:t>.</w:t>
      </w:r>
    </w:p>
    <w:p w14:paraId="79923149" w14:textId="77777777" w:rsidR="001D7F4E" w:rsidRDefault="001D7F4E">
      <w:pPr>
        <w:pStyle w:val="BodyText"/>
      </w:pPr>
    </w:p>
    <w:p w14:paraId="7879AF42" w14:textId="77777777" w:rsidR="001D7F4E" w:rsidRDefault="00000000">
      <w:pPr>
        <w:pStyle w:val="ListParagraph"/>
        <w:numPr>
          <w:ilvl w:val="0"/>
          <w:numId w:val="1"/>
        </w:numPr>
        <w:tabs>
          <w:tab w:val="left" w:pos="588"/>
        </w:tabs>
        <w:ind w:right="178"/>
        <w:jc w:val="both"/>
        <w:rPr>
          <w:sz w:val="24"/>
        </w:rPr>
      </w:pPr>
      <w:r>
        <w:rPr>
          <w:sz w:val="24"/>
        </w:rPr>
        <w:t xml:space="preserve">Jippruvaw ikunu “tajbin iżżejjed” jew </w:t>
      </w:r>
      <w:proofErr w:type="spellStart"/>
      <w:r>
        <w:rPr>
          <w:sz w:val="24"/>
        </w:rPr>
        <w:t>perfetti</w:t>
      </w:r>
      <w:proofErr w:type="spellEnd"/>
      <w:r>
        <w:rPr>
          <w:sz w:val="24"/>
        </w:rPr>
        <w:t>; jirreaġixxu żżejjed għall-kritika.</w:t>
      </w:r>
    </w:p>
    <w:p w14:paraId="6F456CFC" w14:textId="77777777" w:rsidR="001D7F4E" w:rsidRDefault="00000000">
      <w:pPr>
        <w:pStyle w:val="Heading2"/>
        <w:tabs>
          <w:tab w:val="left" w:pos="5237"/>
        </w:tabs>
        <w:spacing w:before="16"/>
        <w:ind w:left="267"/>
        <w:rPr>
          <w:rFonts w:ascii="Tahoma"/>
        </w:rPr>
      </w:pPr>
      <w:r>
        <w:br w:type="column"/>
      </w:r>
      <w:r>
        <w:rPr>
          <w:rFonts w:ascii="Times New Roman"/>
          <w:b w:val="0"/>
          <w:shd w:val="clear" w:color="auto" w:fill="F3F3F3"/>
        </w:rPr>
        <w:t xml:space="preserve"> </w:t>
      </w:r>
      <w:r>
        <w:rPr>
          <w:rFonts w:ascii="Tahoma"/>
          <w:shd w:val="clear" w:color="auto" w:fill="F3F3F3"/>
        </w:rPr>
        <w:t>Abbu</w:t>
      </w:r>
      <w:r>
        <w:rPr>
          <w:rFonts w:ascii="Tahoma"/>
          <w:shd w:val="clear" w:color="auto" w:fill="F3F3F3"/>
        </w:rPr>
        <w:t>ż</w:t>
      </w:r>
      <w:r>
        <w:rPr>
          <w:rFonts w:ascii="Tahoma"/>
          <w:shd w:val="clear" w:color="auto" w:fill="F3F3F3"/>
        </w:rPr>
        <w:t xml:space="preserve"> Fi</w:t>
      </w:r>
      <w:r>
        <w:rPr>
          <w:rFonts w:ascii="Tahoma"/>
          <w:shd w:val="clear" w:color="auto" w:fill="F3F3F3"/>
        </w:rPr>
        <w:t>ż</w:t>
      </w:r>
      <w:r>
        <w:rPr>
          <w:rFonts w:ascii="Tahoma"/>
          <w:shd w:val="clear" w:color="auto" w:fill="F3F3F3"/>
        </w:rPr>
        <w:t>iku</w:t>
      </w:r>
      <w:r>
        <w:rPr>
          <w:rFonts w:ascii="Tahoma"/>
          <w:shd w:val="clear" w:color="auto" w:fill="F3F3F3"/>
        </w:rPr>
        <w:tab/>
      </w:r>
    </w:p>
    <w:p w14:paraId="5573030C" w14:textId="12FB2295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98"/>
        <w:ind w:left="460" w:hanging="224"/>
        <w:rPr>
          <w:sz w:val="24"/>
        </w:rPr>
      </w:pPr>
      <w:r>
        <w:rPr>
          <w:sz w:val="24"/>
        </w:rPr>
        <w:t>Korrimenti jew ħruq rikorrenti mhux spjegati.</w:t>
      </w:r>
    </w:p>
    <w:p w14:paraId="3848B4CF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7"/>
        <w:ind w:left="460" w:hanging="224"/>
        <w:rPr>
          <w:sz w:val="24"/>
        </w:rPr>
      </w:pPr>
      <w:proofErr w:type="spellStart"/>
      <w:r>
        <w:rPr>
          <w:sz w:val="24"/>
        </w:rPr>
        <w:t>Skużi</w:t>
      </w:r>
      <w:proofErr w:type="spellEnd"/>
      <w:r>
        <w:rPr>
          <w:sz w:val="24"/>
        </w:rPr>
        <w:t xml:space="preserve"> improbabbli jew rifjut li jispjegaw il-korrimenti.</w:t>
      </w:r>
    </w:p>
    <w:p w14:paraId="584D2DAF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6"/>
        <w:ind w:left="460" w:right="464" w:hanging="224"/>
        <w:rPr>
          <w:sz w:val="24"/>
        </w:rPr>
      </w:pPr>
      <w:r>
        <w:rPr>
          <w:sz w:val="24"/>
        </w:rPr>
        <w:t>Jilbsu lbies li jgħattu l-korrimenti, anke meta tkun is-sħana.</w:t>
      </w:r>
    </w:p>
    <w:p w14:paraId="23DE6D2A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line="293" w:lineRule="exact"/>
        <w:ind w:left="460" w:hanging="224"/>
        <w:rPr>
          <w:sz w:val="24"/>
        </w:rPr>
      </w:pPr>
      <w:r>
        <w:rPr>
          <w:sz w:val="24"/>
        </w:rPr>
        <w:t xml:space="preserve">Rifjut li </w:t>
      </w:r>
      <w:proofErr w:type="spellStart"/>
      <w:r>
        <w:rPr>
          <w:sz w:val="24"/>
        </w:rPr>
        <w:t>jinżgħu</w:t>
      </w:r>
      <w:proofErr w:type="spellEnd"/>
      <w:r>
        <w:rPr>
          <w:sz w:val="24"/>
        </w:rPr>
        <w:t xml:space="preserve"> għal-lezzjonijiet tal-PE.</w:t>
      </w:r>
    </w:p>
    <w:p w14:paraId="270EAEE3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6"/>
        <w:ind w:left="460" w:hanging="224"/>
        <w:rPr>
          <w:sz w:val="24"/>
        </w:rPr>
      </w:pPr>
      <w:r>
        <w:rPr>
          <w:sz w:val="24"/>
        </w:rPr>
        <w:t>Irqajja’ bla xagħar.</w:t>
      </w:r>
    </w:p>
    <w:p w14:paraId="79581101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9"/>
        <w:ind w:left="460" w:hanging="224"/>
        <w:rPr>
          <w:sz w:val="24"/>
        </w:rPr>
      </w:pPr>
      <w:proofErr w:type="spellStart"/>
      <w:r>
        <w:rPr>
          <w:sz w:val="24"/>
        </w:rPr>
        <w:t>Taħrib</w:t>
      </w:r>
      <w:proofErr w:type="spellEnd"/>
      <w:r>
        <w:rPr>
          <w:sz w:val="24"/>
        </w:rPr>
        <w:t xml:space="preserve"> kroniku.</w:t>
      </w:r>
    </w:p>
    <w:p w14:paraId="42914BB3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6"/>
        <w:ind w:left="460" w:hanging="224"/>
        <w:rPr>
          <w:sz w:val="24"/>
        </w:rPr>
      </w:pPr>
      <w:r>
        <w:rPr>
          <w:sz w:val="24"/>
        </w:rPr>
        <w:t>Biża’ minn għajnuna jew eżami mediku.</w:t>
      </w:r>
    </w:p>
    <w:p w14:paraId="5B11E113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7"/>
        <w:ind w:left="460" w:hanging="224"/>
        <w:rPr>
          <w:sz w:val="24"/>
        </w:rPr>
      </w:pPr>
      <w:r>
        <w:rPr>
          <w:sz w:val="24"/>
        </w:rPr>
        <w:t>Tendenzi ta’ qerda fuqhom infushom.</w:t>
      </w:r>
    </w:p>
    <w:p w14:paraId="57F487F1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6"/>
        <w:ind w:left="460" w:hanging="224"/>
        <w:rPr>
          <w:sz w:val="24"/>
        </w:rPr>
      </w:pPr>
      <w:r>
        <w:rPr>
          <w:sz w:val="24"/>
        </w:rPr>
        <w:t>Aggressjoni lejn oħrajn</w:t>
      </w:r>
    </w:p>
    <w:p w14:paraId="5B1013EC" w14:textId="77777777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46"/>
        <w:ind w:left="460" w:right="785" w:hanging="224"/>
        <w:rPr>
          <w:sz w:val="24"/>
        </w:rPr>
      </w:pPr>
      <w:r>
        <w:rPr>
          <w:sz w:val="24"/>
        </w:rPr>
        <w:t>Biża’ minn kuntatt fiżiku—</w:t>
      </w:r>
      <w:proofErr w:type="spellStart"/>
      <w:r>
        <w:rPr>
          <w:sz w:val="24"/>
        </w:rPr>
        <w:t>jitgerrxu</w:t>
      </w:r>
      <w:proofErr w:type="spellEnd"/>
      <w:r>
        <w:rPr>
          <w:sz w:val="24"/>
        </w:rPr>
        <w:t xml:space="preserve"> meta xi ħadd imisshom.</w:t>
      </w:r>
    </w:p>
    <w:p w14:paraId="12D929BE" w14:textId="72F04F3D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ind w:left="455" w:right="410" w:hanging="219"/>
        <w:rPr>
          <w:sz w:val="24"/>
        </w:rPr>
      </w:pPr>
      <w:r>
        <w:rPr>
          <w:sz w:val="24"/>
        </w:rPr>
        <w:t xml:space="preserve">Jammettu li kienu </w:t>
      </w:r>
      <w:proofErr w:type="spellStart"/>
      <w:r>
        <w:rPr>
          <w:sz w:val="24"/>
        </w:rPr>
        <w:t>kkastigati</w:t>
      </w:r>
      <w:proofErr w:type="spellEnd"/>
      <w:r>
        <w:rPr>
          <w:sz w:val="24"/>
        </w:rPr>
        <w:t>, iżda l-kastig huwa eċċessiv (bħal li t-tfal jissawtu kull filgħaxija biex ‘</w:t>
      </w:r>
      <w:proofErr w:type="spellStart"/>
      <w:r>
        <w:rPr>
          <w:sz w:val="24"/>
        </w:rPr>
        <w:t>iġegħluhom</w:t>
      </w:r>
      <w:proofErr w:type="spellEnd"/>
      <w:r>
        <w:rPr>
          <w:sz w:val="24"/>
        </w:rPr>
        <w:t xml:space="preserve"> jistudjaw’)</w:t>
      </w:r>
    </w:p>
    <w:p w14:paraId="30230BCE" w14:textId="77777777" w:rsidR="001D7F4E" w:rsidRDefault="001D7F4E">
      <w:pPr>
        <w:pStyle w:val="BodyText"/>
        <w:spacing w:before="12"/>
        <w:rPr>
          <w:sz w:val="23"/>
        </w:rPr>
      </w:pPr>
    </w:p>
    <w:p w14:paraId="4B88B700" w14:textId="3ABCF181" w:rsidR="001D7F4E" w:rsidRDefault="00000000">
      <w:pPr>
        <w:pStyle w:val="ListParagraph"/>
        <w:numPr>
          <w:ilvl w:val="0"/>
          <w:numId w:val="1"/>
        </w:numPr>
        <w:tabs>
          <w:tab w:val="left" w:pos="461"/>
        </w:tabs>
        <w:ind w:left="460" w:hanging="224"/>
        <w:rPr>
          <w:sz w:val="24"/>
        </w:rPr>
      </w:pPr>
      <w:r>
        <w:rPr>
          <w:sz w:val="24"/>
        </w:rPr>
        <w:t xml:space="preserve">Biża’ li </w:t>
      </w:r>
      <w:r w:rsidR="002B5E23">
        <w:rPr>
          <w:sz w:val="24"/>
        </w:rPr>
        <w:t xml:space="preserve">jiġi kkuntattjat min hu </w:t>
      </w:r>
      <w:proofErr w:type="spellStart"/>
      <w:r w:rsidR="002B5E23">
        <w:rPr>
          <w:sz w:val="24"/>
        </w:rPr>
        <w:t>ss</w:t>
      </w:r>
      <w:r>
        <w:rPr>
          <w:sz w:val="24"/>
        </w:rPr>
        <w:t>suspettat</w:t>
      </w:r>
      <w:proofErr w:type="spellEnd"/>
      <w:r>
        <w:rPr>
          <w:sz w:val="24"/>
        </w:rPr>
        <w:t xml:space="preserve"> li wettaq l-abbuż.</w:t>
      </w:r>
    </w:p>
    <w:p w14:paraId="56E15AAF" w14:textId="77777777" w:rsidR="001D7F4E" w:rsidRDefault="00000000">
      <w:pPr>
        <w:pStyle w:val="Heading2"/>
        <w:tabs>
          <w:tab w:val="left" w:pos="5230"/>
        </w:tabs>
        <w:spacing w:before="190"/>
        <w:ind w:left="238"/>
        <w:rPr>
          <w:rFonts w:ascii="Tahoma"/>
        </w:rPr>
      </w:pPr>
      <w:r>
        <w:rPr>
          <w:rFonts w:ascii="Times New Roman"/>
          <w:b w:val="0"/>
          <w:shd w:val="clear" w:color="auto" w:fill="F3F3F3"/>
        </w:rPr>
        <w:t xml:space="preserve"> </w:t>
      </w:r>
      <w:r>
        <w:rPr>
          <w:rFonts w:ascii="Tahoma"/>
          <w:shd w:val="clear" w:color="auto" w:fill="F3F3F3"/>
        </w:rPr>
        <w:t>Abbu</w:t>
      </w:r>
      <w:r>
        <w:rPr>
          <w:rFonts w:ascii="Tahoma"/>
          <w:shd w:val="clear" w:color="auto" w:fill="F3F3F3"/>
        </w:rPr>
        <w:t>ż</w:t>
      </w:r>
      <w:r>
        <w:rPr>
          <w:rFonts w:ascii="Tahoma"/>
          <w:shd w:val="clear" w:color="auto" w:fill="F3F3F3"/>
        </w:rPr>
        <w:t xml:space="preserve"> Emozzjonali</w:t>
      </w:r>
      <w:r>
        <w:rPr>
          <w:rFonts w:ascii="Tahoma"/>
          <w:shd w:val="clear" w:color="auto" w:fill="F3F3F3"/>
        </w:rPr>
        <w:tab/>
      </w:r>
    </w:p>
    <w:p w14:paraId="1E60C3B1" w14:textId="081CDC50" w:rsidR="001D7F4E" w:rsidRPr="002B5E23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96"/>
        <w:ind w:left="479" w:right="461" w:hanging="168"/>
        <w:rPr>
          <w:spacing w:val="-10"/>
          <w:sz w:val="24"/>
        </w:rPr>
      </w:pPr>
      <w:r w:rsidRPr="002B5E23">
        <w:rPr>
          <w:spacing w:val="-10"/>
          <w:sz w:val="24"/>
        </w:rPr>
        <w:t xml:space="preserve">Dewmien fl-iżvilupp fiżiku, mentali u </w:t>
      </w:r>
      <w:r w:rsidR="002B5E23" w:rsidRPr="002B5E23">
        <w:rPr>
          <w:spacing w:val="-10"/>
          <w:sz w:val="24"/>
        </w:rPr>
        <w:t>e</w:t>
      </w:r>
      <w:r w:rsidRPr="002B5E23">
        <w:rPr>
          <w:spacing w:val="-10"/>
          <w:sz w:val="24"/>
        </w:rPr>
        <w:t>mozzjonali.</w:t>
      </w:r>
    </w:p>
    <w:p w14:paraId="01402829" w14:textId="77777777" w:rsidR="001D7F4E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line="293" w:lineRule="exact"/>
        <w:ind w:left="479" w:hanging="169"/>
        <w:rPr>
          <w:sz w:val="24"/>
        </w:rPr>
      </w:pPr>
      <w:r>
        <w:rPr>
          <w:sz w:val="24"/>
        </w:rPr>
        <w:t>Disturbi fit-taħdit f’salt.</w:t>
      </w:r>
    </w:p>
    <w:p w14:paraId="6ACEB201" w14:textId="663F7917" w:rsidR="001D7F4E" w:rsidRDefault="00000000" w:rsidP="002B5E23">
      <w:pPr>
        <w:pStyle w:val="ListParagraph"/>
        <w:numPr>
          <w:ilvl w:val="0"/>
          <w:numId w:val="1"/>
        </w:numPr>
        <w:tabs>
          <w:tab w:val="left" w:pos="480"/>
        </w:tabs>
        <w:spacing w:before="146"/>
        <w:ind w:left="530" w:hanging="169"/>
      </w:pPr>
      <w:r>
        <w:rPr>
          <w:sz w:val="24"/>
        </w:rPr>
        <w:t xml:space="preserve">Deprezzament tagħhom infushom kontinwu (jien stupidu, ikrah, </w:t>
      </w:r>
      <w:r>
        <w:t xml:space="preserve">ma </w:t>
      </w:r>
      <w:proofErr w:type="spellStart"/>
      <w:r>
        <w:t>niswa</w:t>
      </w:r>
      <w:proofErr w:type="spellEnd"/>
      <w:r>
        <w:t xml:space="preserve"> xejn, eċċ.).</w:t>
      </w:r>
    </w:p>
    <w:p w14:paraId="168FD241" w14:textId="77777777" w:rsidR="001D7F4E" w:rsidRDefault="00000000">
      <w:pPr>
        <w:pStyle w:val="ListParagraph"/>
        <w:numPr>
          <w:ilvl w:val="0"/>
          <w:numId w:val="1"/>
        </w:numPr>
        <w:tabs>
          <w:tab w:val="left" w:pos="480"/>
        </w:tabs>
        <w:ind w:left="479" w:hanging="169"/>
        <w:rPr>
          <w:sz w:val="24"/>
        </w:rPr>
      </w:pPr>
      <w:r>
        <w:rPr>
          <w:sz w:val="24"/>
        </w:rPr>
        <w:t>Reazzjoni żejda għall-iżbalji</w:t>
      </w:r>
    </w:p>
    <w:p w14:paraId="2681C97A" w14:textId="77777777" w:rsidR="001D7F4E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46"/>
        <w:ind w:left="479" w:hanging="169"/>
        <w:rPr>
          <w:sz w:val="24"/>
        </w:rPr>
      </w:pPr>
      <w:r>
        <w:rPr>
          <w:sz w:val="24"/>
        </w:rPr>
        <w:t>Biża’ estrema ta’ bosta sitwazzjonijiet</w:t>
      </w:r>
    </w:p>
    <w:p w14:paraId="5C1B1A32" w14:textId="77777777" w:rsidR="001D7F4E" w:rsidRPr="002B5E23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49"/>
        <w:ind w:left="479" w:hanging="169"/>
        <w:rPr>
          <w:spacing w:val="-6"/>
          <w:sz w:val="24"/>
        </w:rPr>
      </w:pPr>
      <w:r w:rsidRPr="002B5E23">
        <w:rPr>
          <w:spacing w:val="-6"/>
          <w:sz w:val="24"/>
        </w:rPr>
        <w:t>Rispons mhux xieraq għall-uġigħ (‘Jien dan ħaqqni’)</w:t>
      </w:r>
    </w:p>
    <w:p w14:paraId="16C8D7F1" w14:textId="77777777" w:rsidR="001D7F4E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146"/>
        <w:ind w:left="477" w:right="644" w:hanging="166"/>
        <w:rPr>
          <w:sz w:val="24"/>
        </w:rPr>
      </w:pPr>
      <w:r>
        <w:rPr>
          <w:sz w:val="24"/>
        </w:rPr>
        <w:t xml:space="preserve">Imġiba </w:t>
      </w:r>
      <w:proofErr w:type="spellStart"/>
      <w:r>
        <w:rPr>
          <w:sz w:val="24"/>
        </w:rPr>
        <w:t>newrotika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tbandil</w:t>
      </w:r>
      <w:proofErr w:type="spellEnd"/>
      <w:r>
        <w:rPr>
          <w:sz w:val="24"/>
        </w:rPr>
        <w:t>, tidwir tax-xagħar, mutilazzjoni tagħhom infushom).</w:t>
      </w:r>
    </w:p>
    <w:p w14:paraId="321101FB" w14:textId="77777777" w:rsidR="001D7F4E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line="293" w:lineRule="exact"/>
        <w:ind w:left="479" w:hanging="169"/>
        <w:rPr>
          <w:sz w:val="24"/>
        </w:rPr>
      </w:pPr>
      <w:r>
        <w:rPr>
          <w:sz w:val="24"/>
        </w:rPr>
        <w:t xml:space="preserve">Estremi ta’ </w:t>
      </w:r>
      <w:proofErr w:type="spellStart"/>
      <w:r>
        <w:rPr>
          <w:sz w:val="24"/>
        </w:rPr>
        <w:t>passività</w:t>
      </w:r>
      <w:proofErr w:type="spellEnd"/>
      <w:r>
        <w:rPr>
          <w:sz w:val="24"/>
        </w:rPr>
        <w:t xml:space="preserve"> jew aggressjoni.</w:t>
      </w:r>
    </w:p>
    <w:sectPr w:rsidR="001D7F4E">
      <w:pgSz w:w="16840" w:h="11910" w:orient="landscape"/>
      <w:pgMar w:top="0" w:right="480" w:bottom="280" w:left="360" w:header="720" w:footer="720" w:gutter="0"/>
      <w:cols w:num="3" w:space="720" w:equalWidth="0">
        <w:col w:w="5179" w:space="45"/>
        <w:col w:w="5364" w:space="64"/>
        <w:col w:w="53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6BD0"/>
    <w:multiLevelType w:val="hybridMultilevel"/>
    <w:tmpl w:val="9DF2CA50"/>
    <w:lvl w:ilvl="0" w:tplc="E55EE6C0">
      <w:numFmt w:val="bullet"/>
      <w:lvlText w:val=""/>
      <w:lvlJc w:val="left"/>
      <w:pPr>
        <w:ind w:left="587" w:hanging="35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3AE50AC">
      <w:numFmt w:val="bullet"/>
      <w:lvlText w:val="•"/>
      <w:lvlJc w:val="left"/>
      <w:pPr>
        <w:ind w:left="1058" w:hanging="351"/>
      </w:pPr>
      <w:rPr>
        <w:rFonts w:hint="default"/>
        <w:lang w:val="en-US" w:eastAsia="en-US" w:bidi="ar-SA"/>
      </w:rPr>
    </w:lvl>
    <w:lvl w:ilvl="2" w:tplc="62F27B64">
      <w:numFmt w:val="bullet"/>
      <w:lvlText w:val="•"/>
      <w:lvlJc w:val="left"/>
      <w:pPr>
        <w:ind w:left="1536" w:hanging="351"/>
      </w:pPr>
      <w:rPr>
        <w:rFonts w:hint="default"/>
        <w:lang w:val="en-US" w:eastAsia="en-US" w:bidi="ar-SA"/>
      </w:rPr>
    </w:lvl>
    <w:lvl w:ilvl="3" w:tplc="0890F492">
      <w:numFmt w:val="bullet"/>
      <w:lvlText w:val="•"/>
      <w:lvlJc w:val="left"/>
      <w:pPr>
        <w:ind w:left="2015" w:hanging="351"/>
      </w:pPr>
      <w:rPr>
        <w:rFonts w:hint="default"/>
        <w:lang w:val="en-US" w:eastAsia="en-US" w:bidi="ar-SA"/>
      </w:rPr>
    </w:lvl>
    <w:lvl w:ilvl="4" w:tplc="408CC7E8">
      <w:numFmt w:val="bullet"/>
      <w:lvlText w:val="•"/>
      <w:lvlJc w:val="left"/>
      <w:pPr>
        <w:ind w:left="2493" w:hanging="351"/>
      </w:pPr>
      <w:rPr>
        <w:rFonts w:hint="default"/>
        <w:lang w:val="en-US" w:eastAsia="en-US" w:bidi="ar-SA"/>
      </w:rPr>
    </w:lvl>
    <w:lvl w:ilvl="5" w:tplc="B388141E">
      <w:numFmt w:val="bullet"/>
      <w:lvlText w:val="•"/>
      <w:lvlJc w:val="left"/>
      <w:pPr>
        <w:ind w:left="2971" w:hanging="351"/>
      </w:pPr>
      <w:rPr>
        <w:rFonts w:hint="default"/>
        <w:lang w:val="en-US" w:eastAsia="en-US" w:bidi="ar-SA"/>
      </w:rPr>
    </w:lvl>
    <w:lvl w:ilvl="6" w:tplc="3528B8D6">
      <w:numFmt w:val="bullet"/>
      <w:lvlText w:val="•"/>
      <w:lvlJc w:val="left"/>
      <w:pPr>
        <w:ind w:left="3450" w:hanging="351"/>
      </w:pPr>
      <w:rPr>
        <w:rFonts w:hint="default"/>
        <w:lang w:val="en-US" w:eastAsia="en-US" w:bidi="ar-SA"/>
      </w:rPr>
    </w:lvl>
    <w:lvl w:ilvl="7" w:tplc="848098CA">
      <w:numFmt w:val="bullet"/>
      <w:lvlText w:val="•"/>
      <w:lvlJc w:val="left"/>
      <w:pPr>
        <w:ind w:left="3928" w:hanging="351"/>
      </w:pPr>
      <w:rPr>
        <w:rFonts w:hint="default"/>
        <w:lang w:val="en-US" w:eastAsia="en-US" w:bidi="ar-SA"/>
      </w:rPr>
    </w:lvl>
    <w:lvl w:ilvl="8" w:tplc="2BF235D2">
      <w:numFmt w:val="bullet"/>
      <w:lvlText w:val="•"/>
      <w:lvlJc w:val="left"/>
      <w:pPr>
        <w:ind w:left="4407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0A690642"/>
    <w:multiLevelType w:val="hybridMultilevel"/>
    <w:tmpl w:val="7FC294B8"/>
    <w:lvl w:ilvl="0" w:tplc="E5D84D7C">
      <w:numFmt w:val="bullet"/>
      <w:lvlText w:val=""/>
      <w:lvlJc w:val="left"/>
      <w:pPr>
        <w:ind w:left="811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D708D1C">
      <w:numFmt w:val="bullet"/>
      <w:lvlText w:val="•"/>
      <w:lvlJc w:val="left"/>
      <w:pPr>
        <w:ind w:left="1261" w:hanging="567"/>
      </w:pPr>
      <w:rPr>
        <w:rFonts w:hint="default"/>
        <w:lang w:val="en-US" w:eastAsia="en-US" w:bidi="ar-SA"/>
      </w:rPr>
    </w:lvl>
    <w:lvl w:ilvl="2" w:tplc="14DA429A">
      <w:numFmt w:val="bullet"/>
      <w:lvlText w:val="•"/>
      <w:lvlJc w:val="left"/>
      <w:pPr>
        <w:ind w:left="1703" w:hanging="567"/>
      </w:pPr>
      <w:rPr>
        <w:rFonts w:hint="default"/>
        <w:lang w:val="en-US" w:eastAsia="en-US" w:bidi="ar-SA"/>
      </w:rPr>
    </w:lvl>
    <w:lvl w:ilvl="3" w:tplc="7074974A">
      <w:numFmt w:val="bullet"/>
      <w:lvlText w:val="•"/>
      <w:lvlJc w:val="left"/>
      <w:pPr>
        <w:ind w:left="2145" w:hanging="567"/>
      </w:pPr>
      <w:rPr>
        <w:rFonts w:hint="default"/>
        <w:lang w:val="en-US" w:eastAsia="en-US" w:bidi="ar-SA"/>
      </w:rPr>
    </w:lvl>
    <w:lvl w:ilvl="4" w:tplc="76CA8716">
      <w:numFmt w:val="bullet"/>
      <w:lvlText w:val="•"/>
      <w:lvlJc w:val="left"/>
      <w:pPr>
        <w:ind w:left="2587" w:hanging="567"/>
      </w:pPr>
      <w:rPr>
        <w:rFonts w:hint="default"/>
        <w:lang w:val="en-US" w:eastAsia="en-US" w:bidi="ar-SA"/>
      </w:rPr>
    </w:lvl>
    <w:lvl w:ilvl="5" w:tplc="D7AC84F0">
      <w:numFmt w:val="bullet"/>
      <w:lvlText w:val="•"/>
      <w:lvlJc w:val="left"/>
      <w:pPr>
        <w:ind w:left="3029" w:hanging="567"/>
      </w:pPr>
      <w:rPr>
        <w:rFonts w:hint="default"/>
        <w:lang w:val="en-US" w:eastAsia="en-US" w:bidi="ar-SA"/>
      </w:rPr>
    </w:lvl>
    <w:lvl w:ilvl="6" w:tplc="71F666CA">
      <w:numFmt w:val="bullet"/>
      <w:lvlText w:val="•"/>
      <w:lvlJc w:val="left"/>
      <w:pPr>
        <w:ind w:left="3470" w:hanging="567"/>
      </w:pPr>
      <w:rPr>
        <w:rFonts w:hint="default"/>
        <w:lang w:val="en-US" w:eastAsia="en-US" w:bidi="ar-SA"/>
      </w:rPr>
    </w:lvl>
    <w:lvl w:ilvl="7" w:tplc="A86CAF28">
      <w:numFmt w:val="bullet"/>
      <w:lvlText w:val="•"/>
      <w:lvlJc w:val="left"/>
      <w:pPr>
        <w:ind w:left="3912" w:hanging="567"/>
      </w:pPr>
      <w:rPr>
        <w:rFonts w:hint="default"/>
        <w:lang w:val="en-US" w:eastAsia="en-US" w:bidi="ar-SA"/>
      </w:rPr>
    </w:lvl>
    <w:lvl w:ilvl="8" w:tplc="0FCC7CB8">
      <w:numFmt w:val="bullet"/>
      <w:lvlText w:val="•"/>
      <w:lvlJc w:val="left"/>
      <w:pPr>
        <w:ind w:left="4354" w:hanging="567"/>
      </w:pPr>
      <w:rPr>
        <w:rFonts w:hint="default"/>
        <w:lang w:val="en-US" w:eastAsia="en-US" w:bidi="ar-SA"/>
      </w:rPr>
    </w:lvl>
  </w:abstractNum>
  <w:num w:numId="1" w16cid:durableId="1098328189">
    <w:abstractNumId w:val="0"/>
  </w:num>
  <w:num w:numId="2" w16cid:durableId="57077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F4E"/>
    <w:rsid w:val="00011128"/>
    <w:rsid w:val="001D7F4E"/>
    <w:rsid w:val="00226603"/>
    <w:rsid w:val="002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E25767"/>
  <w15:docId w15:val="{C4460FD4-68AE-4F62-B26C-8B127B1F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6"/>
      <w:ind w:left="174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7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e@ilearn.edu.m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MCG</cp:lastModifiedBy>
  <cp:revision>2</cp:revision>
  <dcterms:created xsi:type="dcterms:W3CDTF">2024-05-27T08:13:00Z</dcterms:created>
  <dcterms:modified xsi:type="dcterms:W3CDTF">2024-05-30T20:11:00Z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2024-05-27T00:00:00Z</vt:filetime>
  </property>
</Properties>
</file>